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AB" w:rsidRDefault="00C560AB" w:rsidP="00C56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</w:t>
      </w:r>
    </w:p>
    <w:p w:rsidR="00C560AB" w:rsidRDefault="00C560AB" w:rsidP="00C560A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У</w:t>
      </w:r>
      <w:r>
        <w:rPr>
          <w:rFonts w:ascii="Times New Roman" w:eastAsia="Calibri" w:hAnsi="Times New Roman" w:cs="Times New Roman"/>
          <w:bCs/>
          <w:sz w:val="20"/>
          <w:szCs w:val="20"/>
        </w:rPr>
        <w:t>четной политике</w:t>
      </w:r>
    </w:p>
    <w:p w:rsidR="00C560AB" w:rsidRDefault="00F90F81" w:rsidP="00C560A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ОТДЕЛ ПО КУЛЬТУРЕ, СПОРТУ И МОЛОДЕЖНОЙ ПОЛИТИКЕ</w:t>
      </w:r>
    </w:p>
    <w:p w:rsidR="00C560AB" w:rsidRDefault="00C560AB" w:rsidP="00C560AB">
      <w:pPr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для целей бюджетного учета</w:t>
      </w:r>
    </w:p>
    <w:p w:rsidR="00C560AB" w:rsidRDefault="00C560AB" w:rsidP="00C560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560AB" w:rsidRDefault="00C560AB" w:rsidP="00C560AB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действий по выбору счета учета, группы для материальных запасов, определения подстатьи КОСГУ для отражения поступления материальных запасов</w:t>
      </w:r>
    </w:p>
    <w:p w:rsidR="00C560AB" w:rsidRDefault="00C560AB" w:rsidP="00B4691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действий по выбору счета учета материальных запасов.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Первоначально отнесение материальных ценностей на тот или иной счет аналитического учета определяется в соответствии </w:t>
      </w:r>
      <w:r w:rsidRPr="00984BF9">
        <w:rPr>
          <w:rFonts w:ascii="Times New Roman" w:hAnsi="Times New Roman" w:cs="Times New Roman"/>
          <w:sz w:val="24"/>
          <w:szCs w:val="24"/>
        </w:rPr>
        <w:t>с </w:t>
      </w:r>
      <w:hyperlink r:id="rId5" w:anchor="/document/12180849/entry/2118" w:history="1">
        <w:r w:rsidRPr="00984BF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п. 118</w:t>
        </w:r>
      </w:hyperlink>
      <w:r w:rsidRPr="00984BF9">
        <w:rPr>
          <w:rFonts w:ascii="Times New Roman" w:hAnsi="Times New Roman" w:cs="Times New Roman"/>
          <w:sz w:val="24"/>
          <w:szCs w:val="24"/>
        </w:rPr>
        <w:t> Инструкции № 157н, в котором приведены соответствующие перечни имущества.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2. В случае</w:t>
      </w:r>
      <w:proofErr w:type="gramStart"/>
      <w:r w:rsidRPr="00984BF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84BF9">
        <w:rPr>
          <w:rFonts w:ascii="Times New Roman" w:hAnsi="Times New Roman" w:cs="Times New Roman"/>
          <w:sz w:val="24"/>
          <w:szCs w:val="24"/>
        </w:rPr>
        <w:t xml:space="preserve"> если не удалось уверенно отнести материальные запасы к "медикаментам и перевязочным средствам", "продуктам питания", "горюче-смазочным материалам", "строительным материалам" или "мягкому инвентарю", должностным лицам учреждения следует руководствоваться положениями (</w:t>
      </w:r>
      <w:hyperlink r:id="rId6" w:anchor="/document/72367754/entry/141123" w:history="1">
        <w:r w:rsidRPr="00984BF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раздел 2</w:t>
        </w:r>
      </w:hyperlink>
      <w:r w:rsidRPr="00984BF9">
        <w:rPr>
          <w:rFonts w:ascii="Times New Roman" w:hAnsi="Times New Roman" w:cs="Times New Roman"/>
          <w:sz w:val="24"/>
          <w:szCs w:val="24"/>
        </w:rPr>
        <w:t> Методических рекомендаций по применению СГС "Запасы", доведенных </w:t>
      </w:r>
      <w:hyperlink r:id="rId7" w:anchor="/document/72367754/entry/0" w:history="1">
        <w:r w:rsidRPr="00984BF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письмом</w:t>
        </w:r>
      </w:hyperlink>
      <w:r w:rsidRPr="00984BF9">
        <w:rPr>
          <w:rFonts w:ascii="Times New Roman" w:hAnsi="Times New Roman" w:cs="Times New Roman"/>
          <w:sz w:val="24"/>
          <w:szCs w:val="24"/>
        </w:rPr>
        <w:t> Минфина России от 01.08.2019 N 02-07-07/58075, далее - Методические рекомендации к СГС "Запасы"):</w:t>
      </w:r>
    </w:p>
    <w:p w:rsidR="00C560AB" w:rsidRPr="00984BF9" w:rsidRDefault="00C560AB" w:rsidP="00B46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- общероссийского классификатора (</w:t>
      </w:r>
      <w:hyperlink r:id="rId8" w:anchor="/document/70650730/entry/0" w:history="1">
        <w:r w:rsidRPr="00984BF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Общероссийский классификатор</w:t>
        </w:r>
      </w:hyperlink>
      <w:r w:rsidRPr="00984BF9">
        <w:rPr>
          <w:rFonts w:ascii="Times New Roman" w:hAnsi="Times New Roman" w:cs="Times New Roman"/>
          <w:sz w:val="24"/>
          <w:szCs w:val="24"/>
        </w:rPr>
        <w:t> продукции по видам экономической деятельности (ОКПД 2) ОК 034-2014 (КПЕС 2008), принятый и введенный в действие </w:t>
      </w:r>
      <w:hyperlink r:id="rId9" w:anchor="/document/70639264/entry/0" w:history="1">
        <w:r w:rsidRPr="00984BF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приказом</w:t>
        </w:r>
      </w:hyperlink>
      <w:r w:rsidRPr="00984BF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84BF9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Pr="00984BF9">
        <w:rPr>
          <w:rFonts w:ascii="Times New Roman" w:hAnsi="Times New Roman" w:cs="Times New Roman"/>
          <w:sz w:val="24"/>
          <w:szCs w:val="24"/>
        </w:rPr>
        <w:t xml:space="preserve"> от 31.01.2014 N 14-ст, далее - Общероссийский классификатор);</w:t>
      </w:r>
    </w:p>
    <w:p w:rsidR="00C560AB" w:rsidRPr="00984BF9" w:rsidRDefault="00C560AB" w:rsidP="00B46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- отраслевых нормативных правовых актов.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Поиск в </w:t>
      </w:r>
      <w:hyperlink r:id="rId10" w:anchor="/document/70650730/entry/0" w:history="1">
        <w:r w:rsidRPr="00984BF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Общероссийском классификаторе</w:t>
        </w:r>
      </w:hyperlink>
      <w:r w:rsidRPr="00984BF9">
        <w:rPr>
          <w:rFonts w:ascii="Times New Roman" w:hAnsi="Times New Roman" w:cs="Times New Roman"/>
          <w:sz w:val="24"/>
          <w:szCs w:val="24"/>
        </w:rPr>
        <w:t> может осуществляться </w:t>
      </w:r>
      <w:r w:rsidRPr="00984BF9">
        <w:rPr>
          <w:rFonts w:ascii="Times New Roman" w:hAnsi="Times New Roman" w:cs="Times New Roman"/>
          <w:bCs/>
          <w:sz w:val="24"/>
          <w:szCs w:val="24"/>
        </w:rPr>
        <w:t>по наименованию</w:t>
      </w:r>
      <w:r w:rsidRPr="00984BF9">
        <w:rPr>
          <w:rFonts w:ascii="Times New Roman" w:hAnsi="Times New Roman" w:cs="Times New Roman"/>
          <w:sz w:val="24"/>
          <w:szCs w:val="24"/>
        </w:rPr>
        <w:t> и </w:t>
      </w:r>
      <w:r w:rsidRPr="00984BF9">
        <w:rPr>
          <w:rFonts w:ascii="Times New Roman" w:hAnsi="Times New Roman" w:cs="Times New Roman"/>
          <w:bCs/>
          <w:sz w:val="24"/>
          <w:szCs w:val="24"/>
        </w:rPr>
        <w:t>по назначению объекта</w:t>
      </w:r>
      <w:r w:rsidRPr="00984BF9">
        <w:rPr>
          <w:rFonts w:ascii="Times New Roman" w:hAnsi="Times New Roman" w:cs="Times New Roman"/>
          <w:sz w:val="24"/>
          <w:szCs w:val="24"/>
        </w:rPr>
        <w:t>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При поиске </w:t>
      </w:r>
      <w:r w:rsidRPr="00984BF9">
        <w:rPr>
          <w:rFonts w:ascii="Times New Roman" w:hAnsi="Times New Roman" w:cs="Times New Roman"/>
          <w:bCs/>
          <w:sz w:val="24"/>
          <w:szCs w:val="24"/>
        </w:rPr>
        <w:t>по наименованию</w:t>
      </w:r>
      <w:r w:rsidRPr="00984BF9">
        <w:rPr>
          <w:rFonts w:ascii="Times New Roman" w:hAnsi="Times New Roman" w:cs="Times New Roman"/>
          <w:sz w:val="24"/>
          <w:szCs w:val="24"/>
        </w:rPr>
        <w:t> не стоит задавать в поисковой строке слишком конкретных или специфических названий объектов - там их просто может не оказаться. Не всегда дает результаты поиск только по тому наименованию, которое указано в документах поставщика или по "разговорному" наименованию.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bCs/>
          <w:sz w:val="24"/>
          <w:szCs w:val="24"/>
        </w:rPr>
        <w:t>Например</w:t>
      </w:r>
      <w:r w:rsidRPr="00984BF9">
        <w:rPr>
          <w:rFonts w:ascii="Times New Roman" w:hAnsi="Times New Roman" w:cs="Times New Roman"/>
          <w:sz w:val="24"/>
          <w:szCs w:val="24"/>
        </w:rPr>
        <w:t>, в </w:t>
      </w:r>
      <w:hyperlink r:id="rId11" w:anchor="/document/70650730/entry/0" w:history="1">
        <w:r w:rsidRPr="00984BF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Общероссийском классификаторе</w:t>
        </w:r>
      </w:hyperlink>
      <w:r w:rsidRPr="00984BF9">
        <w:rPr>
          <w:rFonts w:ascii="Times New Roman" w:hAnsi="Times New Roman" w:cs="Times New Roman"/>
          <w:sz w:val="24"/>
          <w:szCs w:val="24"/>
        </w:rPr>
        <w:t>:</w:t>
      </w:r>
    </w:p>
    <w:p w:rsidR="00C560AB" w:rsidRPr="00984BF9" w:rsidRDefault="00C560AB" w:rsidP="00B46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- нет "Ножных протезов", но есть "Протезы внешние";</w:t>
      </w:r>
    </w:p>
    <w:p w:rsidR="00C560AB" w:rsidRPr="00984BF9" w:rsidRDefault="00C560AB" w:rsidP="00B46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- нет "Солярки", но есть "Дизельное топливо".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Кроме того, постоянно появляются новые объекты, которых в период разработки классификатора просто не было. Для таких объектов следует подбирать код, исходя из их назначения.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При поиске </w:t>
      </w:r>
      <w:r w:rsidRPr="00984BF9">
        <w:rPr>
          <w:rFonts w:ascii="Times New Roman" w:hAnsi="Times New Roman" w:cs="Times New Roman"/>
          <w:bCs/>
          <w:sz w:val="24"/>
          <w:szCs w:val="24"/>
        </w:rPr>
        <w:t>по назначению</w:t>
      </w:r>
      <w:r w:rsidRPr="00984BF9">
        <w:rPr>
          <w:rFonts w:ascii="Times New Roman" w:hAnsi="Times New Roman" w:cs="Times New Roman"/>
          <w:sz w:val="24"/>
          <w:szCs w:val="24"/>
        </w:rPr>
        <w:t xml:space="preserve"> объекта нужно определить, к какой группировке из </w:t>
      </w:r>
      <w:proofErr w:type="gramStart"/>
      <w:r w:rsidRPr="00984BF9">
        <w:rPr>
          <w:rFonts w:ascii="Times New Roman" w:hAnsi="Times New Roman" w:cs="Times New Roman"/>
          <w:sz w:val="24"/>
          <w:szCs w:val="24"/>
        </w:rPr>
        <w:t>перечисленных</w:t>
      </w:r>
      <w:proofErr w:type="gramEnd"/>
      <w:r w:rsidRPr="00984BF9">
        <w:rPr>
          <w:rFonts w:ascii="Times New Roman" w:hAnsi="Times New Roman" w:cs="Times New Roman"/>
          <w:sz w:val="24"/>
          <w:szCs w:val="24"/>
        </w:rPr>
        <w:t xml:space="preserve"> в </w:t>
      </w:r>
      <w:hyperlink r:id="rId12" w:anchor="/document/70650730/entry/0" w:history="1">
        <w:r w:rsidRPr="00984BF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Общероссийском классификаторе</w:t>
        </w:r>
      </w:hyperlink>
      <w:r w:rsidRPr="00984BF9">
        <w:rPr>
          <w:rFonts w:ascii="Times New Roman" w:hAnsi="Times New Roman" w:cs="Times New Roman"/>
          <w:sz w:val="24"/>
          <w:szCs w:val="24"/>
        </w:rPr>
        <w:t>, относится объект. Нужно искать в этой группировке наиболее подходящий код, в том числе групповой. Если удалось найти группу, однако подобрать конкретный код не получается, объект может быть отнесен к "прочим" - для многих групп предусмотрены соответствующие коды, например, "Продукты химические прочие", "Изделия из резины прочие".</w:t>
      </w:r>
    </w:p>
    <w:p w:rsidR="00C560AB" w:rsidRPr="00984BF9" w:rsidRDefault="00C560AB" w:rsidP="00B4691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3. В случае</w:t>
      </w:r>
      <w:proofErr w:type="gramStart"/>
      <w:r w:rsidRPr="00984BF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84BF9">
        <w:rPr>
          <w:rFonts w:ascii="Times New Roman" w:hAnsi="Times New Roman" w:cs="Times New Roman"/>
          <w:sz w:val="24"/>
          <w:szCs w:val="24"/>
        </w:rPr>
        <w:t xml:space="preserve"> если невозможно точно определить счета аналитического учета материальных запасов перечисленными выше способами, то учитывать такие материальные запасы в составе прочих материальных запасов на счете 0 105 06 000 "Прочие материальные запасы".</w:t>
      </w:r>
    </w:p>
    <w:p w:rsidR="00C560AB" w:rsidRPr="00984BF9" w:rsidRDefault="00C560AB" w:rsidP="00B4691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BF9">
        <w:rPr>
          <w:rFonts w:ascii="Times New Roman" w:hAnsi="Times New Roman" w:cs="Times New Roman"/>
          <w:b/>
          <w:sz w:val="24"/>
          <w:szCs w:val="24"/>
        </w:rPr>
        <w:lastRenderedPageBreak/>
        <w:t>Порядок отнесения к группам материальных запасов.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1. Порядок как действующие аналитические счета соотнести с группировкой, которая обозначена в стандарте «Запасы», представлен в Таблице №1.</w:t>
      </w:r>
    </w:p>
    <w:p w:rsidR="00C560AB" w:rsidRPr="00984BF9" w:rsidRDefault="00C560AB" w:rsidP="00B46918">
      <w:pPr>
        <w:pStyle w:val="a4"/>
        <w:spacing w:before="0" w:beforeAutospacing="0" w:after="0" w:afterAutospacing="0" w:line="276" w:lineRule="auto"/>
        <w:ind w:firstLine="567"/>
        <w:jc w:val="both"/>
        <w:rPr>
          <w:rFonts w:eastAsiaTheme="minorEastAsia"/>
        </w:rPr>
      </w:pPr>
      <w:r w:rsidRPr="00984BF9">
        <w:t xml:space="preserve">2. При этом учитывать, что к группе «Материалы» относить </w:t>
      </w:r>
      <w:r w:rsidRPr="00984BF9">
        <w:rPr>
          <w:rFonts w:eastAsiaTheme="minorEastAsia"/>
        </w:rPr>
        <w:t>материальные ценности, которые учреждение использует в текущей деятельности независимо от их стоимости не более 12 месяцев; средства реабилитации, лекарственные препараты, медицинские изделия и другие предметы, предназначенные для обеспечения граждан или юридических лиц.</w:t>
      </w:r>
    </w:p>
    <w:p w:rsidR="00C560AB" w:rsidRPr="00984BF9" w:rsidRDefault="00C560AB" w:rsidP="00B46918">
      <w:pPr>
        <w:pStyle w:val="a4"/>
        <w:spacing w:before="0" w:beforeAutospacing="0" w:after="0" w:afterAutospacing="0" w:line="276" w:lineRule="auto"/>
        <w:ind w:firstLine="567"/>
        <w:jc w:val="both"/>
      </w:pPr>
      <w:r w:rsidRPr="00984BF9">
        <w:t>3. При этом учитывать, что к группе «Иные материальные запасы» относить материальные ценности, которые учреждение использует в текущей деятельности независимо от их стоимости со сроком службы более 12 месяцев.</w:t>
      </w:r>
    </w:p>
    <w:p w:rsidR="00B46918" w:rsidRPr="00984BF9" w:rsidRDefault="00B46918" w:rsidP="00B46918">
      <w:pPr>
        <w:pStyle w:val="a4"/>
        <w:spacing w:before="0" w:beforeAutospacing="0" w:after="0" w:afterAutospacing="0" w:line="276" w:lineRule="auto"/>
        <w:ind w:firstLine="567"/>
        <w:jc w:val="both"/>
      </w:pPr>
    </w:p>
    <w:p w:rsidR="00C560AB" w:rsidRPr="00984BF9" w:rsidRDefault="00C560AB" w:rsidP="00B4691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B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Порядок выбора подстатьи из статьи 340 КОСГУ.</w:t>
      </w:r>
    </w:p>
    <w:p w:rsidR="00C560AB" w:rsidRPr="00984BF9" w:rsidRDefault="00C560AB" w:rsidP="00984B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1. Перечень подстатей, детализирующих статью 340 "Увеличение стоимости материальных запасов" КОСГУ, приведен в п. 11.4 Порядка N 209н.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2.</w:t>
      </w:r>
      <w:r w:rsidRPr="00984B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984BF9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Pr="00984BF9">
        <w:rPr>
          <w:rFonts w:ascii="Times New Roman" w:hAnsi="Times New Roman" w:cs="Times New Roman"/>
          <w:sz w:val="24"/>
          <w:szCs w:val="24"/>
        </w:rPr>
        <w:t xml:space="preserve">лавный критерий при определении конкретной подстатьи КОСГУ для отражения поступления материальных запасов: отнесение материальных запасов на соответствующие подстатьи статьи 340 КОСГУ осуществляется по </w:t>
      </w:r>
      <w:r w:rsidRPr="00984BF9">
        <w:rPr>
          <w:rFonts w:ascii="Times New Roman" w:hAnsi="Times New Roman" w:cs="Times New Roman"/>
          <w:b/>
          <w:sz w:val="24"/>
          <w:szCs w:val="24"/>
        </w:rPr>
        <w:t>целевому / функциональному назначению</w:t>
      </w:r>
      <w:r w:rsidRPr="00984BF9">
        <w:rPr>
          <w:rFonts w:ascii="Times New Roman" w:hAnsi="Times New Roman" w:cs="Times New Roman"/>
          <w:sz w:val="24"/>
          <w:szCs w:val="24"/>
        </w:rPr>
        <w:t xml:space="preserve"> объектов (раздел 2 Методических рекомендаций к СГС "Запасы", письма Минфина России от 08.05.2019 N 02-08-10/34105, от 22.05.2019 N 02-08-10/37166, от 07.06.2019 N 02-08-10/43803, от 17.06.2019 N 02-08-10/43765, от 01.08.2019 N02-08-10</w:t>
      </w:r>
      <w:proofErr w:type="gramEnd"/>
      <w:r w:rsidRPr="00984BF9">
        <w:rPr>
          <w:rFonts w:ascii="Times New Roman" w:hAnsi="Times New Roman" w:cs="Times New Roman"/>
          <w:sz w:val="24"/>
          <w:szCs w:val="24"/>
        </w:rPr>
        <w:t>/57713).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Иными словами, для правильного выбора подстатьи КОСГУ принципиальное значение имеет не то, </w:t>
      </w:r>
      <w:r w:rsidRPr="00984BF9">
        <w:rPr>
          <w:rFonts w:ascii="Times New Roman" w:hAnsi="Times New Roman" w:cs="Times New Roman"/>
          <w:b/>
          <w:bCs/>
          <w:sz w:val="24"/>
          <w:szCs w:val="24"/>
        </w:rPr>
        <w:t>ЧТО</w:t>
      </w:r>
      <w:r w:rsidRPr="00984BF9">
        <w:rPr>
          <w:rFonts w:ascii="Times New Roman" w:hAnsi="Times New Roman" w:cs="Times New Roman"/>
          <w:sz w:val="24"/>
          <w:szCs w:val="24"/>
        </w:rPr>
        <w:t> именно приобретает учреждение, а </w:t>
      </w:r>
      <w:r w:rsidRPr="00984BF9">
        <w:rPr>
          <w:rFonts w:ascii="Times New Roman" w:hAnsi="Times New Roman" w:cs="Times New Roman"/>
          <w:b/>
          <w:bCs/>
          <w:sz w:val="24"/>
          <w:szCs w:val="24"/>
        </w:rPr>
        <w:t>ДЛЯ ЧЕГО</w:t>
      </w:r>
      <w:r w:rsidRPr="00984BF9">
        <w:rPr>
          <w:rFonts w:ascii="Times New Roman" w:hAnsi="Times New Roman" w:cs="Times New Roman"/>
          <w:sz w:val="24"/>
          <w:szCs w:val="24"/>
        </w:rPr>
        <w:t> это будет использоваться. И в зависимости от конкретных обстоятельств, обусловливающих такие расходы, одни и те же материальные запасы могут быть отнесены на разные подстатьи </w:t>
      </w:r>
      <w:hyperlink r:id="rId13" w:anchor="/document/71835192/entry/1114" w:history="1">
        <w:r w:rsidRPr="00984BF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статьи 340</w:t>
        </w:r>
      </w:hyperlink>
      <w:r w:rsidRPr="00984BF9">
        <w:rPr>
          <w:rFonts w:ascii="Times New Roman" w:hAnsi="Times New Roman" w:cs="Times New Roman"/>
          <w:sz w:val="24"/>
          <w:szCs w:val="24"/>
        </w:rPr>
        <w:t> КОСГУ.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Кроме того, коды КОСГУ выбираются в зависимости от экономического содержания операции (</w:t>
      </w:r>
      <w:hyperlink r:id="rId14" w:anchor="/document/71835192/entry/1003" w:history="1">
        <w:r w:rsidRPr="00984BF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п. 3</w:t>
        </w:r>
      </w:hyperlink>
      <w:r w:rsidRPr="00984BF9">
        <w:rPr>
          <w:rFonts w:ascii="Times New Roman" w:hAnsi="Times New Roman" w:cs="Times New Roman"/>
          <w:sz w:val="24"/>
          <w:szCs w:val="24"/>
        </w:rPr>
        <w:t> Порядка N 209н).</w:t>
      </w:r>
    </w:p>
    <w:p w:rsidR="00C560AB" w:rsidRPr="00984BF9" w:rsidRDefault="00C560AB" w:rsidP="00B4691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для определения кода КОСГУ в целях определения группы материальных запасов могут быть использованы:</w:t>
      </w:r>
    </w:p>
    <w:p w:rsidR="00C560AB" w:rsidRPr="00984BF9" w:rsidRDefault="00C560AB" w:rsidP="00B469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- перечни имущества, приведенные в </w:t>
      </w:r>
      <w:hyperlink r:id="rId15" w:anchor="/document/12180849/entry/2118" w:history="1">
        <w:r w:rsidRPr="00984BF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п. 118</w:t>
        </w:r>
      </w:hyperlink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Инструкции N 157н по соответствующим группам (</w:t>
      </w:r>
      <w:proofErr w:type="gramStart"/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частности, письма Минфина России </w:t>
      </w:r>
      <w:hyperlink r:id="rId16" w:anchor="/document/72227672/entry/0" w:history="1">
        <w:r w:rsidRPr="00984BF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 29.01.2019 N 02-05-10/4935</w:t>
        </w:r>
      </w:hyperlink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7" w:anchor="/document/72266470/entry/0" w:history="1">
        <w:r w:rsidRPr="00984BF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 26.04.2019 N 02-08-10/31391</w:t>
        </w:r>
      </w:hyperlink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C560AB" w:rsidRPr="00984BF9" w:rsidRDefault="00C560AB" w:rsidP="00B469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18" w:anchor="/document/70650730/entry/0" w:history="1">
        <w:r w:rsidRPr="00984BF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Общероссийский классификатор</w:t>
        </w:r>
      </w:hyperlink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gramStart"/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частности, </w:t>
      </w:r>
      <w:hyperlink r:id="rId19" w:anchor="/document/71984582/entry/1230" w:history="1">
        <w:r w:rsidRPr="00984BF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раздел 3</w:t>
        </w:r>
      </w:hyperlink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 письма Минфина России от 29.06.2018 N 02-05-10/45153, письма Минфина России </w:t>
      </w:r>
      <w:hyperlink r:id="rId20" w:anchor="/document/72279866/entry/0" w:history="1">
        <w:r w:rsidRPr="00984BF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 07.06.2019 N 02-08-10/43803</w:t>
        </w:r>
      </w:hyperlink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1" w:anchor="/document/72266458/entry/0" w:history="1">
        <w:r w:rsidRPr="00984BF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 08.05.2019 N 02-08-10/34105</w:t>
        </w:r>
      </w:hyperlink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C560AB" w:rsidRPr="00984BF9" w:rsidRDefault="00C560AB" w:rsidP="00B469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отраслевые нормативные правовые акты (</w:t>
      </w:r>
      <w:proofErr w:type="gramStart"/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частности, письма Минфина России </w:t>
      </w:r>
      <w:hyperlink r:id="rId22" w:anchor="/document/72279866/entry/0" w:history="1">
        <w:r w:rsidRPr="00984BF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 07.06.2019 N 02-08-10/43803</w:t>
        </w:r>
      </w:hyperlink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3" w:anchor="/document/72266458/entry/0" w:history="1">
        <w:r w:rsidRPr="00984BF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 08.05.2019 N 02-08-10/34105</w:t>
        </w:r>
      </w:hyperlink>
      <w:r w:rsidRPr="00984BF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t>3. Выбор аналитического счета для учета материалов в различных ситуациях с учетом указанных принципов и раздела 2 Методических рекомендаций к СГС "Запасы" представлен в Таблице №1.</w:t>
      </w:r>
    </w:p>
    <w:p w:rsidR="00C560AB" w:rsidRPr="00984BF9" w:rsidRDefault="00C560AB" w:rsidP="00B46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BF9">
        <w:rPr>
          <w:rFonts w:ascii="Times New Roman" w:hAnsi="Times New Roman" w:cs="Times New Roman"/>
          <w:sz w:val="24"/>
          <w:szCs w:val="24"/>
        </w:rPr>
        <w:lastRenderedPageBreak/>
        <w:t>4. Данное приложение необходимо во избежание разногласий с проверяющими органами, до выхода официальных материалов МФ РФ конкретизирующих и официально закрепляющих вопрос применения КОСГУ по материалам.</w:t>
      </w:r>
    </w:p>
    <w:p w:rsidR="00C560AB" w:rsidRPr="00984BF9" w:rsidRDefault="00C560AB" w:rsidP="00C560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84BF9">
        <w:rPr>
          <w:rFonts w:ascii="Times New Roman" w:hAnsi="Times New Roman" w:cs="Times New Roman"/>
          <w:b/>
          <w:sz w:val="24"/>
          <w:szCs w:val="24"/>
        </w:rPr>
        <w:t>Таблица №1</w:t>
      </w:r>
    </w:p>
    <w:tbl>
      <w:tblPr>
        <w:tblStyle w:val="a6"/>
        <w:tblW w:w="5227" w:type="pct"/>
        <w:tblLook w:val="04A0"/>
      </w:tblPr>
      <w:tblGrid>
        <w:gridCol w:w="2112"/>
        <w:gridCol w:w="2807"/>
        <w:gridCol w:w="5087"/>
      </w:tblGrid>
      <w:tr w:rsidR="00C560AB" w:rsidRPr="00984BF9" w:rsidTr="00B46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4BF9">
              <w:rPr>
                <w:rFonts w:ascii="Times New Roman" w:eastAsia="Times New Roman" w:hAnsi="Times New Roman" w:cs="Times New Roman"/>
                <w:b/>
                <w:bCs/>
              </w:rPr>
              <w:t>Группа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4BF9">
              <w:rPr>
                <w:rFonts w:ascii="Times New Roman" w:eastAsia="Times New Roman" w:hAnsi="Times New Roman" w:cs="Times New Roman"/>
                <w:b/>
                <w:bCs/>
              </w:rPr>
              <w:t>На каком аналитическом счете учитывать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4BF9">
              <w:rPr>
                <w:rFonts w:ascii="Times New Roman" w:eastAsia="Times New Roman" w:hAnsi="Times New Roman" w:cs="Times New Roman"/>
                <w:b/>
                <w:bCs/>
              </w:rPr>
              <w:t>Какие объекты включать в группу</w:t>
            </w:r>
          </w:p>
        </w:tc>
      </w:tr>
      <w:tr w:rsidR="00C560AB" w:rsidRPr="00984BF9" w:rsidTr="00B46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4BF9">
              <w:rPr>
                <w:rFonts w:ascii="Times New Roman" w:eastAsia="Times New Roman" w:hAnsi="Times New Roman" w:cs="Times New Roman"/>
                <w:b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>
            <w:pPr>
              <w:rPr>
                <w:rFonts w:ascii="Times New Roman" w:eastAsia="Times New Roman" w:hAnsi="Times New Roman" w:cs="Times New Roman"/>
              </w:rPr>
            </w:pPr>
            <w:r w:rsidRPr="00984BF9">
              <w:rPr>
                <w:rFonts w:ascii="Times New Roman" w:eastAsia="Times New Roman" w:hAnsi="Times New Roman" w:cs="Times New Roman"/>
              </w:rPr>
              <w:t>– 105 01 «Медикаменты и перевязочные средства»; </w:t>
            </w:r>
            <w:r w:rsidRPr="00984BF9">
              <w:rPr>
                <w:rFonts w:ascii="Times New Roman" w:eastAsia="Times New Roman" w:hAnsi="Times New Roman" w:cs="Times New Roman"/>
              </w:rPr>
              <w:br/>
              <w:t>– 105 02 «Продукты питания»;</w:t>
            </w:r>
            <w:r w:rsidRPr="00984BF9">
              <w:rPr>
                <w:rFonts w:ascii="Times New Roman" w:eastAsia="Times New Roman" w:hAnsi="Times New Roman" w:cs="Times New Roman"/>
              </w:rPr>
              <w:br/>
              <w:t>– 105 03 «Горюче-смазочные материалы»; </w:t>
            </w:r>
            <w:r w:rsidRPr="00984BF9">
              <w:rPr>
                <w:rFonts w:ascii="Times New Roman" w:eastAsia="Times New Roman" w:hAnsi="Times New Roman" w:cs="Times New Roman"/>
              </w:rPr>
              <w:br/>
              <w:t>– 105 04 «Строительные материалы»</w:t>
            </w:r>
          </w:p>
          <w:p w:rsidR="00C560AB" w:rsidRPr="00984BF9" w:rsidRDefault="00C560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BF9">
              <w:rPr>
                <w:rFonts w:ascii="Times New Roman" w:eastAsia="Times New Roman" w:hAnsi="Times New Roman" w:cs="Times New Roman"/>
              </w:rPr>
              <w:t>– 105 06 «Прочие материальные запасы»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BF9">
              <w:rPr>
                <w:rFonts w:ascii="Times New Roman" w:eastAsia="Times New Roman" w:hAnsi="Times New Roman" w:cs="Times New Roman"/>
              </w:rPr>
              <w:t>– стройматериалы; </w:t>
            </w:r>
            <w:r w:rsidRPr="00984BF9">
              <w:rPr>
                <w:rFonts w:ascii="Times New Roman" w:eastAsia="Times New Roman" w:hAnsi="Times New Roman" w:cs="Times New Roman"/>
              </w:rPr>
              <w:br/>
              <w:t>– моющие средства; </w:t>
            </w:r>
            <w:r w:rsidRPr="00984BF9">
              <w:rPr>
                <w:rFonts w:ascii="Times New Roman" w:eastAsia="Times New Roman" w:hAnsi="Times New Roman" w:cs="Times New Roman"/>
              </w:rPr>
              <w:br/>
              <w:t>– продукты питания; </w:t>
            </w:r>
            <w:r w:rsidRPr="00984BF9">
              <w:rPr>
                <w:rFonts w:ascii="Times New Roman" w:eastAsia="Times New Roman" w:hAnsi="Times New Roman" w:cs="Times New Roman"/>
              </w:rPr>
              <w:br/>
              <w:t>– лекарства; </w:t>
            </w:r>
            <w:r w:rsidRPr="00984BF9">
              <w:rPr>
                <w:rFonts w:ascii="Times New Roman" w:eastAsia="Times New Roman" w:hAnsi="Times New Roman" w:cs="Times New Roman"/>
              </w:rPr>
              <w:br/>
              <w:t>– ГСМ и др.</w:t>
            </w:r>
          </w:p>
        </w:tc>
      </w:tr>
      <w:tr w:rsidR="00C560AB" w:rsidRPr="00984BF9" w:rsidTr="00B469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4BF9">
              <w:rPr>
                <w:rFonts w:ascii="Times New Roman" w:eastAsia="Times New Roman" w:hAnsi="Times New Roman" w:cs="Times New Roman"/>
                <w:b/>
              </w:rPr>
              <w:t>Иные материальные запасы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BF9">
              <w:rPr>
                <w:rFonts w:ascii="Times New Roman" w:eastAsia="Times New Roman" w:hAnsi="Times New Roman" w:cs="Times New Roman"/>
              </w:rPr>
              <w:t>– 105 06 «Прочие материальные запасы»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 w:rsidP="0035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BF9">
              <w:rPr>
                <w:rFonts w:ascii="Times New Roman" w:eastAsia="Times New Roman" w:hAnsi="Times New Roman" w:cs="Times New Roman"/>
              </w:rPr>
              <w:t>– сменное оборудование, приспособления к основным средствам, используемые многократно; </w:t>
            </w:r>
            <w:r w:rsidRPr="00984BF9">
              <w:rPr>
                <w:rFonts w:ascii="Times New Roman" w:eastAsia="Times New Roman" w:hAnsi="Times New Roman" w:cs="Times New Roman"/>
              </w:rPr>
              <w:br/>
            </w:r>
          </w:p>
        </w:tc>
      </w:tr>
    </w:tbl>
    <w:p w:rsidR="00C560AB" w:rsidRPr="00984BF9" w:rsidRDefault="00C560AB" w:rsidP="00C560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6918" w:rsidRPr="00984BF9" w:rsidRDefault="00B46918" w:rsidP="00C560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0AB" w:rsidRPr="00984BF9" w:rsidRDefault="00C560AB" w:rsidP="00B46918">
      <w:pPr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84BF9"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Style w:val="1"/>
        <w:tblW w:w="10173" w:type="dxa"/>
        <w:tblLook w:val="04A0"/>
      </w:tblPr>
      <w:tblGrid>
        <w:gridCol w:w="555"/>
        <w:gridCol w:w="2691"/>
        <w:gridCol w:w="2904"/>
        <w:gridCol w:w="2006"/>
        <w:gridCol w:w="2017"/>
      </w:tblGrid>
      <w:tr w:rsidR="00C560AB" w:rsidRPr="00984BF9" w:rsidTr="00984BF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4BF9">
              <w:rPr>
                <w:rFonts w:ascii="Times New Roman" w:eastAsia="Calibri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84BF9">
              <w:rPr>
                <w:rFonts w:ascii="Times New Roman" w:eastAsia="Calibri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984BF9">
              <w:rPr>
                <w:rFonts w:ascii="Times New Roman" w:eastAsia="Calibri" w:hAnsi="Times New Roman" w:cs="Times New Roman"/>
                <w:b/>
                <w:bCs/>
              </w:rPr>
              <w:t>/</w:t>
            </w:r>
            <w:proofErr w:type="spellStart"/>
            <w:r w:rsidRPr="00984BF9">
              <w:rPr>
                <w:rFonts w:ascii="Times New Roman" w:eastAsia="Calibri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B" w:rsidRPr="00984BF9" w:rsidRDefault="00C560A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4BF9">
              <w:rPr>
                <w:rFonts w:ascii="Times New Roman" w:eastAsia="Calibri" w:hAnsi="Times New Roman" w:cs="Times New Roman"/>
                <w:b/>
                <w:bCs/>
              </w:rPr>
              <w:t>Наименование материального запаса (приобретение, изготовление)</w:t>
            </w:r>
          </w:p>
          <w:p w:rsidR="00C560AB" w:rsidRPr="00984BF9" w:rsidRDefault="00C560A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Pr="00984BF9" w:rsidRDefault="00C560A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4BF9">
              <w:rPr>
                <w:rFonts w:ascii="Times New Roman" w:eastAsia="Calibri" w:hAnsi="Times New Roman" w:cs="Times New Roman"/>
                <w:b/>
                <w:bCs/>
              </w:rPr>
              <w:t xml:space="preserve">Целевое (функциональное) назначение материальных запасов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B" w:rsidRPr="00984BF9" w:rsidRDefault="00C560A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4BF9">
              <w:rPr>
                <w:rFonts w:ascii="Times New Roman" w:eastAsia="Calibri" w:hAnsi="Times New Roman" w:cs="Times New Roman"/>
                <w:b/>
                <w:bCs/>
              </w:rPr>
              <w:t xml:space="preserve">Подстатья КОСГУ </w:t>
            </w:r>
          </w:p>
          <w:p w:rsidR="00C560AB" w:rsidRPr="00984BF9" w:rsidRDefault="00C560A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4BF9">
              <w:rPr>
                <w:rFonts w:ascii="Times New Roman" w:eastAsia="Calibri" w:hAnsi="Times New Roman" w:cs="Times New Roman"/>
                <w:b/>
                <w:bCs/>
              </w:rPr>
              <w:t>для целей бухгалтерского учета на счете 0 105 00 000 «Материальные запасы»</w:t>
            </w:r>
          </w:p>
          <w:p w:rsidR="00C560AB" w:rsidRPr="00984BF9" w:rsidRDefault="00C560A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B" w:rsidRPr="00984BF9" w:rsidRDefault="00C560A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4BF9">
              <w:rPr>
                <w:rFonts w:ascii="Times New Roman" w:eastAsia="Calibri" w:hAnsi="Times New Roman" w:cs="Times New Roman"/>
                <w:b/>
                <w:bCs/>
              </w:rPr>
              <w:t>Используемый аналитический счет к счету 0 105 00 000 «Материальные запасы».</w:t>
            </w:r>
          </w:p>
          <w:p w:rsidR="00C560AB" w:rsidRPr="00984BF9" w:rsidRDefault="00C560A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560AB" w:rsidRPr="00984BF9" w:rsidRDefault="00C560A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560AB" w:rsidTr="00984BF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Хозяйственные и канцелярские товары (бумага, карандаши, ручки, стержни и др.) </w:t>
            </w:r>
          </w:p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использования (потребления) в процессе деятельности учреждения</w:t>
            </w:r>
          </w:p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Default="00C560A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0 105 06 000 «Прочие материальные запасы»</w:t>
            </w:r>
          </w:p>
        </w:tc>
      </w:tr>
      <w:tr w:rsidR="00C560AB" w:rsidTr="00984BF9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Default="00352DC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B" w:rsidRDefault="00C560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Подарочная, сувенирная продукция, медали, иные материальные ценности, призы, знамена, кубки, учреждённые разными организациями и получаемые от них для награждения команд-победителей</w:t>
            </w:r>
          </w:p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для целей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награждения (дарения</w:t>
            </w:r>
            <w:r>
              <w:rPr>
                <w:rFonts w:ascii="Times New Roman" w:eastAsia="Calibri" w:hAnsi="Times New Roman" w:cs="Times New Roman"/>
              </w:rPr>
              <w:t xml:space="preserve">) </w:t>
            </w:r>
          </w:p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</w:p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Default="00C560A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0 105 06 000 «Прочие материальные запасы»</w:t>
            </w:r>
          </w:p>
        </w:tc>
      </w:tr>
      <w:tr w:rsidR="00C560AB" w:rsidTr="00984B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целей дальнейшей перепродажи</w:t>
            </w:r>
          </w:p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Default="00C560A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AB" w:rsidRDefault="00C560A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0 105 08 000 «Товары»</w:t>
            </w:r>
          </w:p>
        </w:tc>
      </w:tr>
    </w:tbl>
    <w:p w:rsidR="00C560AB" w:rsidRDefault="00C560AB" w:rsidP="00C560A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24B6" w:rsidRDefault="003924B6"/>
    <w:sectPr w:rsidR="003924B6" w:rsidSect="0039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D512F"/>
    <w:multiLevelType w:val="hybridMultilevel"/>
    <w:tmpl w:val="20DC17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560AB"/>
    <w:rsid w:val="00352DCD"/>
    <w:rsid w:val="003924B6"/>
    <w:rsid w:val="004C383D"/>
    <w:rsid w:val="00716AF8"/>
    <w:rsid w:val="008C1347"/>
    <w:rsid w:val="00984BF9"/>
    <w:rsid w:val="009A75B1"/>
    <w:rsid w:val="00AC3881"/>
    <w:rsid w:val="00B46918"/>
    <w:rsid w:val="00C560AB"/>
    <w:rsid w:val="00F90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60A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56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60AB"/>
    <w:pPr>
      <w:ind w:left="720"/>
      <w:contextualSpacing/>
    </w:pPr>
  </w:style>
  <w:style w:type="table" w:styleId="a6">
    <w:name w:val="Table Grid"/>
    <w:basedOn w:val="a1"/>
    <w:uiPriority w:val="59"/>
    <w:rsid w:val="00C56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C56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Культуре</dc:creator>
  <cp:keywords/>
  <dc:description/>
  <cp:lastModifiedBy>Отдел по Культуре</cp:lastModifiedBy>
  <cp:revision>6</cp:revision>
  <dcterms:created xsi:type="dcterms:W3CDTF">2020-10-08T04:37:00Z</dcterms:created>
  <dcterms:modified xsi:type="dcterms:W3CDTF">2024-08-26T08:12:00Z</dcterms:modified>
</cp:coreProperties>
</file>